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10FBE" w14:textId="77777777" w:rsidR="00A25928" w:rsidRDefault="00A25928" w:rsidP="001C2682">
      <w:pPr>
        <w:jc w:val="center"/>
        <w:rPr>
          <w:b/>
          <w:caps/>
          <w:color w:val="2E74B5"/>
          <w:szCs w:val="18"/>
        </w:rPr>
      </w:pPr>
    </w:p>
    <w:p w14:paraId="35857E8E" w14:textId="1E74ACEB" w:rsidR="0091194C" w:rsidRDefault="00D37D74" w:rsidP="001C2682">
      <w:pPr>
        <w:jc w:val="center"/>
        <w:rPr>
          <w:b/>
          <w:caps/>
          <w:color w:val="2E74B5"/>
          <w:szCs w:val="18"/>
        </w:rPr>
      </w:pPr>
      <w:r w:rsidRPr="00D37D74">
        <w:rPr>
          <w:b/>
          <w:caps/>
          <w:color w:val="2E74B5"/>
          <w:szCs w:val="18"/>
        </w:rPr>
        <w:t>PROJEKT NPO "Obnova VO města Brna 2024", registrační číslo 2182000993.</w:t>
      </w:r>
    </w:p>
    <w:p w14:paraId="417968FE" w14:textId="77777777" w:rsidR="0091194C" w:rsidRDefault="0091194C" w:rsidP="001C2682">
      <w:pPr>
        <w:jc w:val="center"/>
        <w:rPr>
          <w:b/>
          <w:u w:val="single"/>
        </w:rPr>
      </w:pPr>
    </w:p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celkový design svítidla, (obzvláště u parkových - dekoračních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>
        <w:t xml:space="preserve">50 – 60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7D8E8DA3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="00D37D74">
        <w:t>.</w:t>
      </w:r>
      <w:r w:rsidRPr="00E5018E">
        <w:t xml:space="preserve"> </w:t>
      </w:r>
      <w:r w:rsidR="004227CA">
        <w:t>Vzhledem k požadavkům dotačního programu musí být podíl světelného toku svítidla do horního poloprostoru rovný nule.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3F6DFD92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proofErr w:type="gramStart"/>
      <w:r w:rsidR="002A726A">
        <w:rPr>
          <w:b/>
        </w:rPr>
        <w:t xml:space="preserve">konektorem </w:t>
      </w:r>
      <w:r w:rsidRPr="00A0028B">
        <w:rPr>
          <w:b/>
        </w:rPr>
        <w:t xml:space="preserve"> </w:t>
      </w:r>
      <w:r w:rsidR="00FA2E43" w:rsidRPr="00A0028B">
        <w:rPr>
          <w:b/>
        </w:rPr>
        <w:t>NEMA</w:t>
      </w:r>
      <w:proofErr w:type="gramEnd"/>
      <w:r w:rsidR="00FA2E43" w:rsidRPr="00A0028B">
        <w:rPr>
          <w:b/>
        </w:rPr>
        <w:t xml:space="preserve">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0B7D08">
        <w:rPr>
          <w:b/>
        </w:rPr>
        <w:t>, a</w:t>
      </w:r>
      <w:r w:rsidR="002A726A">
        <w:rPr>
          <w:b/>
        </w:rPr>
        <w:t xml:space="preserve"> </w:t>
      </w:r>
      <w:r w:rsidR="008F2861" w:rsidRPr="00A0028B">
        <w:rPr>
          <w:b/>
        </w:rPr>
        <w:t xml:space="preserve">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D92DD5">
        <w:rPr>
          <w:bCs/>
        </w:rPr>
        <w:t xml:space="preserve">, </w:t>
      </w:r>
      <w:r w:rsidR="00D92DD5" w:rsidRPr="00D92DD5">
        <w:rPr>
          <w:bCs/>
        </w:rPr>
        <w:t xml:space="preserve">a to bez oživení,  v jednotné  ceně sjednané s dodavatelem </w:t>
      </w:r>
      <w:r w:rsidR="00CD25CD">
        <w:rPr>
          <w:bCs/>
        </w:rPr>
        <w:t>–</w:t>
      </w:r>
      <w:r w:rsidR="00D92DD5">
        <w:rPr>
          <w:bCs/>
        </w:rPr>
        <w:t xml:space="preserve"> 1</w:t>
      </w:r>
      <w:r w:rsidR="00CD25CD">
        <w:rPr>
          <w:bCs/>
        </w:rPr>
        <w:t xml:space="preserve"> </w:t>
      </w:r>
      <w:r w:rsidR="001266D6">
        <w:rPr>
          <w:bCs/>
        </w:rPr>
        <w:t>7</w:t>
      </w:r>
      <w:r w:rsidR="00D92DD5">
        <w:rPr>
          <w:bCs/>
        </w:rPr>
        <w:t>28</w:t>
      </w:r>
      <w:r w:rsidR="00D92DD5" w:rsidRPr="00D92DD5">
        <w:rPr>
          <w:bCs/>
        </w:rPr>
        <w:t xml:space="preserve"> Kč/ks.</w:t>
      </w:r>
    </w:p>
    <w:p w14:paraId="7085274B" w14:textId="70461C92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  <w:r w:rsidR="009C0C51">
        <w:t>.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</w:t>
      </w:r>
      <w:proofErr w:type="gramStart"/>
      <w:r w:rsidRPr="001C2682">
        <w:rPr>
          <w:b/>
          <w:bCs/>
        </w:rP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6A9D90CA" w14:textId="05FE4E0B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o technických požadavcích na výrobky a o změně a doplnění některých zákonů. Tento zákon nahradil zákon č.22 /1997 který navazoval na zákon č. 142/1991 Sb., o československých technických </w:t>
      </w:r>
      <w:r w:rsidR="00D92DD5" w:rsidRPr="00920633">
        <w:rPr>
          <w:rFonts w:asciiTheme="minorHAnsi" w:hAnsiTheme="minorHAnsi" w:cstheme="minorHAnsi"/>
          <w:sz w:val="22"/>
          <w:szCs w:val="22"/>
        </w:rPr>
        <w:t>normách,</w:t>
      </w:r>
      <w:r w:rsidRPr="00920633">
        <w:rPr>
          <w:rFonts w:asciiTheme="minorHAnsi" w:hAnsiTheme="minorHAnsi" w:cstheme="minorHAnsi"/>
          <w:sz w:val="22"/>
          <w:szCs w:val="22"/>
        </w:rPr>
        <w:t> který rozlišil technické předpisy, technické normy a zavedl pojem harmonizované normy. 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 xml:space="preserve">90/2016 Sb. bylo vydána nařízení) pro výrobky z hlediska jejich elektromagnetické kompatibility (dle NV č. 117/2016 Sb., zák. č. 90/2016 Sb. i zák. č. 91/2016 Sb., zák. č. 64/2014 Sb., zák. č. 100/2013 Sb., </w:t>
      </w:r>
      <w:r w:rsidRPr="00920633">
        <w:rPr>
          <w:rFonts w:asciiTheme="minorHAnsi" w:hAnsiTheme="minorHAnsi" w:cstheme="minorHAnsi"/>
          <w:sz w:val="22"/>
          <w:szCs w:val="22"/>
        </w:rPr>
        <w:lastRenderedPageBreak/>
        <w:t>zák. č. 34/2011 Sb., zák. č. 155/2010 Sb., zák. č. 490/2009 Sb. a zák. č. 22/1997 Sb.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1DB07CEB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736C84">
        <w:t>Nařízení komise (EU) ze dne 1. října 2019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ve znění pozdějších </w:t>
      </w:r>
      <w:r w:rsidR="00D92DD5">
        <w:t>předpisů.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</w:t>
                  </w:r>
                  <w:proofErr w:type="gramStart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…….</w:t>
                  </w:r>
                  <w:proofErr w:type="gramEnd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proofErr w:type="gram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proofErr w:type="gram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205B96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(osazeno komunikačním modulem MSB-C </w:t>
                  </w:r>
                  <w:proofErr w:type="spellStart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1A33B" w14:textId="77777777" w:rsidR="00AA5178" w:rsidRDefault="00AA5178" w:rsidP="00F20391">
      <w:r>
        <w:separator/>
      </w:r>
    </w:p>
  </w:endnote>
  <w:endnote w:type="continuationSeparator" w:id="0">
    <w:p w14:paraId="374DAF32" w14:textId="77777777" w:rsidR="00AA5178" w:rsidRDefault="00AA517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AF545" w14:textId="77777777" w:rsidR="00AA5178" w:rsidRDefault="00AA5178" w:rsidP="00F20391">
      <w:r>
        <w:separator/>
      </w:r>
    </w:p>
  </w:footnote>
  <w:footnote w:type="continuationSeparator" w:id="0">
    <w:p w14:paraId="46212CFC" w14:textId="77777777" w:rsidR="00AA5178" w:rsidRDefault="00AA5178" w:rsidP="00F2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1462" w14:textId="77777777" w:rsidR="0091194C" w:rsidRDefault="0091194C" w:rsidP="0091194C">
    <w:pPr>
      <w:pStyle w:val="Zhlav"/>
    </w:pPr>
    <w:r w:rsidRPr="006D39CC">
      <w:rPr>
        <w:rFonts w:cstheme="minorHAnsi"/>
        <w:noProof/>
      </w:rPr>
      <w:drawing>
        <wp:anchor distT="0" distB="0" distL="114300" distR="114300" simplePos="0" relativeHeight="251661312" behindDoc="1" locked="0" layoutInCell="1" allowOverlap="1" wp14:anchorId="1B6D75E8" wp14:editId="51510F03">
          <wp:simplePos x="0" y="0"/>
          <wp:positionH relativeFrom="margin">
            <wp:posOffset>4653915</wp:posOffset>
          </wp:positionH>
          <wp:positionV relativeFrom="paragraph">
            <wp:posOffset>-61595</wp:posOffset>
          </wp:positionV>
          <wp:extent cx="1071880" cy="539750"/>
          <wp:effectExtent l="0" t="0" r="0" b="0"/>
          <wp:wrapNone/>
          <wp:docPr id="24" name="Obrázek 24" descr="Obsah obrázku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ázek 24" descr="Obsah obrázku Grafika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88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CC">
      <w:rPr>
        <w:rFonts w:cstheme="minorHAnsi"/>
        <w:noProof/>
      </w:rPr>
      <w:drawing>
        <wp:anchor distT="0" distB="0" distL="114300" distR="114300" simplePos="0" relativeHeight="251660288" behindDoc="0" locked="0" layoutInCell="1" allowOverlap="1" wp14:anchorId="2DB9B5BD" wp14:editId="487DF0B9">
          <wp:simplePos x="0" y="0"/>
          <wp:positionH relativeFrom="margin">
            <wp:posOffset>2412365</wp:posOffset>
          </wp:positionH>
          <wp:positionV relativeFrom="paragraph">
            <wp:posOffset>-71755</wp:posOffset>
          </wp:positionV>
          <wp:extent cx="1296000" cy="541416"/>
          <wp:effectExtent l="0" t="0" r="0" b="0"/>
          <wp:wrapNone/>
          <wp:docPr id="25" name="Obrázek 25" descr="Obsah obrázku Písmo, Grafika, text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ázek 25" descr="Obsah obrázku Písmo, Grafika, text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00" cy="541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CC">
      <w:rPr>
        <w:rFonts w:cstheme="minorHAnsi"/>
        <w:noProof/>
      </w:rPr>
      <w:drawing>
        <wp:anchor distT="0" distB="0" distL="114300" distR="114300" simplePos="0" relativeHeight="251659264" behindDoc="1" locked="1" layoutInCell="1" allowOverlap="1" wp14:anchorId="2288B39D" wp14:editId="715F4FAB">
          <wp:simplePos x="0" y="0"/>
          <wp:positionH relativeFrom="margin">
            <wp:posOffset>-38100</wp:posOffset>
          </wp:positionH>
          <wp:positionV relativeFrom="paragraph">
            <wp:posOffset>-102235</wp:posOffset>
          </wp:positionV>
          <wp:extent cx="1806575" cy="539750"/>
          <wp:effectExtent l="0" t="0" r="3175" b="0"/>
          <wp:wrapTight wrapText="bothSides">
            <wp:wrapPolygon edited="0">
              <wp:start x="0" y="0"/>
              <wp:lineTo x="0" y="20584"/>
              <wp:lineTo x="21410" y="20584"/>
              <wp:lineTo x="21410" y="0"/>
              <wp:lineTo x="0" y="0"/>
            </wp:wrapPolygon>
          </wp:wrapTight>
          <wp:docPr id="26" name="Obrázek 26" descr="Obsah obrázku text, Písmo, logo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ázek 26" descr="Obsah obrázku text, Písmo, logo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65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C2F095" w14:textId="77777777" w:rsidR="0091194C" w:rsidRDefault="0091194C" w:rsidP="0091194C">
    <w:pPr>
      <w:pStyle w:val="Zhlav"/>
    </w:pPr>
  </w:p>
  <w:p w14:paraId="07945D13" w14:textId="77777777" w:rsidR="0091194C" w:rsidRDefault="0091194C" w:rsidP="0091194C">
    <w:pPr>
      <w:pStyle w:val="Zhlav"/>
    </w:pPr>
  </w:p>
  <w:p w14:paraId="669B7D0D" w14:textId="37EFAF62" w:rsidR="007171AF" w:rsidRDefault="0091194C" w:rsidP="0091194C">
    <w:pPr>
      <w:pStyle w:val="Zhlav"/>
    </w:pPr>
    <w:r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     </w:t>
    </w:r>
    <w:r w:rsidRPr="00A0520E"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Tento projekt je financován z prostředků Evropské unie z fondu </w:t>
    </w:r>
    <w:proofErr w:type="spellStart"/>
    <w:r w:rsidRPr="00A0520E"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Next</w:t>
    </w:r>
    <w:proofErr w:type="spellEnd"/>
    <w:r w:rsidRPr="00A0520E"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proofErr w:type="spellStart"/>
    <w:r w:rsidRPr="00A0520E"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Generation</w:t>
    </w:r>
    <w:proofErr w:type="spellEnd"/>
    <w:r w:rsidRPr="00A0520E">
      <w:rPr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171C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5906"/>
    <w:rsid w:val="000F7AE2"/>
    <w:rsid w:val="001008F6"/>
    <w:rsid w:val="00110D0E"/>
    <w:rsid w:val="00110FE7"/>
    <w:rsid w:val="001212A0"/>
    <w:rsid w:val="001266D6"/>
    <w:rsid w:val="00127BC5"/>
    <w:rsid w:val="00136387"/>
    <w:rsid w:val="00150288"/>
    <w:rsid w:val="001668D6"/>
    <w:rsid w:val="001677E2"/>
    <w:rsid w:val="0017102A"/>
    <w:rsid w:val="00183966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445CF"/>
    <w:rsid w:val="00355D81"/>
    <w:rsid w:val="0035610C"/>
    <w:rsid w:val="00362C2E"/>
    <w:rsid w:val="00364799"/>
    <w:rsid w:val="00373AC1"/>
    <w:rsid w:val="003748CA"/>
    <w:rsid w:val="003A67EB"/>
    <w:rsid w:val="003B26F9"/>
    <w:rsid w:val="003C1B09"/>
    <w:rsid w:val="003C1F13"/>
    <w:rsid w:val="003D0D19"/>
    <w:rsid w:val="003D7BC4"/>
    <w:rsid w:val="003E6F3A"/>
    <w:rsid w:val="003F51F5"/>
    <w:rsid w:val="00401D4C"/>
    <w:rsid w:val="00412BEE"/>
    <w:rsid w:val="00421C22"/>
    <w:rsid w:val="00421F47"/>
    <w:rsid w:val="004227CA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514F3"/>
    <w:rsid w:val="00556651"/>
    <w:rsid w:val="00565B88"/>
    <w:rsid w:val="005714C4"/>
    <w:rsid w:val="005908CD"/>
    <w:rsid w:val="0059380B"/>
    <w:rsid w:val="00596085"/>
    <w:rsid w:val="005C7AB0"/>
    <w:rsid w:val="005F4984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D1B2C"/>
    <w:rsid w:val="007E1C31"/>
    <w:rsid w:val="007E3219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194C"/>
    <w:rsid w:val="00913734"/>
    <w:rsid w:val="00913D6F"/>
    <w:rsid w:val="00916581"/>
    <w:rsid w:val="00920633"/>
    <w:rsid w:val="00923212"/>
    <w:rsid w:val="009502CB"/>
    <w:rsid w:val="00950379"/>
    <w:rsid w:val="0096035B"/>
    <w:rsid w:val="00964C79"/>
    <w:rsid w:val="00971577"/>
    <w:rsid w:val="009A7AEF"/>
    <w:rsid w:val="009B2B2B"/>
    <w:rsid w:val="009B58CD"/>
    <w:rsid w:val="009C0C51"/>
    <w:rsid w:val="009C4C63"/>
    <w:rsid w:val="009E23F0"/>
    <w:rsid w:val="00A0028B"/>
    <w:rsid w:val="00A15C4B"/>
    <w:rsid w:val="00A16A1D"/>
    <w:rsid w:val="00A248D9"/>
    <w:rsid w:val="00A254DC"/>
    <w:rsid w:val="00A25928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4981"/>
    <w:rsid w:val="00B33431"/>
    <w:rsid w:val="00B4546C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01173"/>
    <w:rsid w:val="00C1617A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D25CD"/>
    <w:rsid w:val="00CF2FE3"/>
    <w:rsid w:val="00CF4078"/>
    <w:rsid w:val="00D006AA"/>
    <w:rsid w:val="00D37D74"/>
    <w:rsid w:val="00D413F0"/>
    <w:rsid w:val="00D437A4"/>
    <w:rsid w:val="00D43FC2"/>
    <w:rsid w:val="00D72124"/>
    <w:rsid w:val="00D81682"/>
    <w:rsid w:val="00D85C15"/>
    <w:rsid w:val="00D8707F"/>
    <w:rsid w:val="00D92DD5"/>
    <w:rsid w:val="00D9771B"/>
    <w:rsid w:val="00DA2B6C"/>
    <w:rsid w:val="00DA42DF"/>
    <w:rsid w:val="00DB2173"/>
    <w:rsid w:val="00DB595C"/>
    <w:rsid w:val="00DB68AB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1328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Boris Vrbka</cp:lastModifiedBy>
  <cp:revision>4</cp:revision>
  <cp:lastPrinted>2020-04-15T10:22:00Z</cp:lastPrinted>
  <dcterms:created xsi:type="dcterms:W3CDTF">2024-07-24T11:12:00Z</dcterms:created>
  <dcterms:modified xsi:type="dcterms:W3CDTF">2024-07-29T06:39:00Z</dcterms:modified>
</cp:coreProperties>
</file>